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11 Mart 2012 Tarihli Resmi Gazete</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Sayı: 28230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Çalışma ve Sosyal Güvenlik Bakanlığından:</w:t>
      </w:r>
    </w:p>
    <w:p w:rsidR="00312D8D" w:rsidRPr="00312D8D" w:rsidRDefault="00312D8D" w:rsidP="00312D8D">
      <w:pPr>
        <w:pStyle w:val="NormalWeb"/>
        <w:shd w:val="clear" w:color="auto" w:fill="FFFFFF"/>
        <w:spacing w:before="0" w:beforeAutospacing="0" w:after="360" w:afterAutospacing="0"/>
        <w:jc w:val="center"/>
        <w:rPr>
          <w:rFonts w:ascii="Arial" w:hAnsi="Arial" w:cs="Arial"/>
          <w:color w:val="575757"/>
          <w:sz w:val="20"/>
          <w:szCs w:val="20"/>
        </w:rPr>
      </w:pPr>
      <w:r w:rsidRPr="00312D8D">
        <w:rPr>
          <w:rStyle w:val="Gl"/>
          <w:rFonts w:ascii="Arial" w:hAnsi="Arial" w:cs="Arial"/>
          <w:color w:val="575757"/>
          <w:sz w:val="20"/>
          <w:szCs w:val="20"/>
        </w:rPr>
        <w:t>KİŞİSEL KORUYUCU DONANIMLARIN KATEGORİZASYON REHBERİNE DAİR TEBLİĞ</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Amaç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1 – (1) Bu Tebliğin amacı, 29/11/2006 tarihli ve 26361 sayılı Resmî Gazete’de yayımlanan Kişisel Koruyucu Donanım Yönetmeliği kapsamındaki kişisel koruyucu donanımların CE belgelendirme işlemlerinin yapılabilmesi için hangi kategoriye dahil olduklarını belirlemektir.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Üreticinin sorumluluğu </w:t>
      </w:r>
      <w:r w:rsidRPr="00312D8D">
        <w:rPr>
          <w:rStyle w:val="Gl"/>
          <w:rFonts w:ascii="Arial" w:hAnsi="Arial" w:cs="Arial"/>
          <w:color w:val="575757"/>
          <w:sz w:val="20"/>
          <w:szCs w:val="20"/>
        </w:rPr>
        <w:t>kisisel-koruyucu-donanimlarin-kategorizasyon-rehberine-dair-teblig</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2 – (1) Bu Tebliğ, Kişisel Koruyucu Donanım Yönetmeliğinin uygulanmasını kolaylaştırmak için yayımlanmış olup doğru uygunluk değerlendirme işlemini seçmek üreticinin sorumluluğundadır.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Kategori-0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3 – (1) Kişisel Koruyucu Donanım Yönetmeliği kapsamına girmeyen kişisel koruyucu donanımlar, kategori-0 olarak sınıflandırılır.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Kategori-I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4 – (1) Tasarımcı tarafından, kullanıcının kendisinin değerlendirebileceği kabul edilen, tedrici olarak ortaya çıkan ve zamanında farkedilebilir derecede düşük düzeydeki risklere karşı koruma sağlayan basit yapıdaki kişisel koruyucu donanımlar, kategori-I olarak sınıflandırılır.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(2) Kategori-I’e dahil olan kişisel koruyucu donanımların belgelendirilmesi, Kişisel Koruyucu Donanım Yönetmeliğinin 10 uncu maddesinde belirtildiği şekilde, üreticinin sorumluluğu alarak, AT uygunluk beyanı düzenlemesi esasına göre yapılır.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Kategori-II</w:t>
      </w:r>
      <w:r w:rsidRPr="00312D8D">
        <w:rPr>
          <w:rFonts w:ascii="Arial" w:hAnsi="Arial" w:cs="Arial"/>
          <w:color w:val="575757"/>
          <w:sz w:val="20"/>
          <w:szCs w:val="20"/>
        </w:rPr>
        <w:t>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5 – (1) Kategori-I ve kategori-III’ün dışında kalan tüm kişisel koruyucu donanımlar, kategori-II olarak sınıflandırılır.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(2) Kategori-II’ye dahil olan kişisel koruyucu donanımların belgelendirilmesi, Kişisel Koruyucu Donanım Yönetmeliğinin 9 uncu maddesinde belirtildiği şekilde, onaylanmış kuruluş tarafından model kişisel koruyucu donanım için AT tip inceleme belgesi düzenlendikten sonra, üretici tarafından AT uygunluk beyanı düzenlenmesi esasına göre yapılır.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Kategori-III</w:t>
      </w:r>
      <w:r w:rsidRPr="00312D8D">
        <w:rPr>
          <w:rFonts w:ascii="Arial" w:hAnsi="Arial" w:cs="Arial"/>
          <w:color w:val="575757"/>
          <w:sz w:val="20"/>
          <w:szCs w:val="20"/>
        </w:rPr>
        <w:t>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6 – (1) Tasarımcı tarafından, ani olarak ortaya çıkabilecek tehlikeleri, kullanıcının zamanında fark edemeyeceği düşünülen durumlarda ve hayati tehlike oluşturarak, sağlığa ciddi şekilde ve geriye dönüşü mümkün olmayacak derecede zarar verebilecek risklere karşı koruma sağlayan, karmaşık yapıdaki kişisel koruyucu donanımlar kategori-III olarak sınıflandırılır.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(2) Kategori-III’e dahil olan kişisel koruyucu donanımların belgelendirilmesi, Kişisel Koruyucu Donanım Yönetmeliğinin 11 inci maddesinde belirtildiği şekilde, onaylanmış kuruluş tarafından model kişisel koruyucu donanım için AT tip inceleme belgesinin düzenlenmesini takiben, AT tip incelemesini yapan veya üretici tarafından seçilen farklı bir onaylanmış kuruluşun aynı Yönetmeliğin altıncı veya yedinci bölümlerinden birine uygun olarak üretilen kişisel koruyucu donanımların ya da üretim sisteminin kalite kontrolü süreçlerinin uygulanmasının ardından, üreticinin AT uygunluk beyanı düzenlemesi esasına göre yapılır.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lastRenderedPageBreak/>
        <w:t>Temel sağlık ve güvenlik gereklerine uygunluk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7 – (1) Kişisel koruyucu donanımlar, belgelendirme kategorisine bakılmaksızın Kişisel Koruyucu Donanım Yönetmeliğinin Ek-2’sinde belirtilen temel sağlık ve güvenlik gereklerine uygun olarak tasarlanmak ve üretilmek zorundadırlar.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Onaylanmış kuruluşların yükümlülüğü</w:t>
      </w:r>
      <w:r w:rsidRPr="00312D8D">
        <w:rPr>
          <w:rFonts w:ascii="Arial" w:hAnsi="Arial" w:cs="Arial"/>
          <w:color w:val="575757"/>
          <w:sz w:val="20"/>
          <w:szCs w:val="20"/>
        </w:rPr>
        <w:t>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8 – (1) Kişisel koruyucu donanımın AT tip incelemesini yapacak olan onaylanmış kuruluşun aşağıdaki hususları yerine getirmesi zorunludur: </w:t>
      </w:r>
    </w:p>
    <w:p w:rsidR="00312D8D" w:rsidRPr="00312D8D" w:rsidRDefault="00312D8D" w:rsidP="00312D8D">
      <w:pPr>
        <w:pStyle w:val="NormalWeb"/>
        <w:shd w:val="clear" w:color="auto" w:fill="FFFFFF"/>
        <w:spacing w:before="0" w:beforeAutospacing="0" w:after="360" w:afterAutospacing="0"/>
        <w:ind w:left="450"/>
        <w:rPr>
          <w:rFonts w:ascii="Arial" w:hAnsi="Arial" w:cs="Arial"/>
          <w:color w:val="575757"/>
          <w:sz w:val="20"/>
          <w:szCs w:val="20"/>
        </w:rPr>
      </w:pPr>
      <w:r w:rsidRPr="00312D8D">
        <w:rPr>
          <w:rFonts w:ascii="Arial" w:hAnsi="Arial" w:cs="Arial"/>
          <w:color w:val="575757"/>
          <w:sz w:val="20"/>
          <w:szCs w:val="20"/>
        </w:rPr>
        <w:t>a) Tek parçadan oluşmuş kişisel koruyucu donanımın, ilgili temel sağlık ve güvenlik gereklerine uygun olduğunu teyit etmek. </w:t>
      </w:r>
    </w:p>
    <w:p w:rsidR="00312D8D" w:rsidRPr="00312D8D" w:rsidRDefault="00312D8D" w:rsidP="00312D8D">
      <w:pPr>
        <w:pStyle w:val="NormalWeb"/>
        <w:shd w:val="clear" w:color="auto" w:fill="FFFFFF"/>
        <w:spacing w:before="0" w:beforeAutospacing="0" w:after="360" w:afterAutospacing="0"/>
        <w:ind w:left="450"/>
        <w:rPr>
          <w:rFonts w:ascii="Arial" w:hAnsi="Arial" w:cs="Arial"/>
          <w:color w:val="575757"/>
          <w:sz w:val="20"/>
          <w:szCs w:val="20"/>
        </w:rPr>
      </w:pPr>
      <w:r w:rsidRPr="00312D8D">
        <w:rPr>
          <w:rFonts w:ascii="Arial" w:hAnsi="Arial" w:cs="Arial"/>
          <w:color w:val="575757"/>
          <w:sz w:val="20"/>
          <w:szCs w:val="20"/>
        </w:rPr>
        <w:t>b) Birkaç parçadan oluşmuş kişisel koruyucu donanımın parçalarının tamamının veya bir kısmının üzerinde yapılmış olan testleri gözönüne alarak, onaylanmış kuruluşun yapmış veya kabul etmiş olduğu testleri tekrar etmeden temel sağlık ve güvenlik gereklerine uygun olduğunu teyit etmek ve parçaların birleştirilmesinden dolayı gereken ek testleri yapmak.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Kategorizasyon tablosu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9 – (1) Kişisel Koruyucu Donanım Yönetmeliği kapsamında bulunan; kişisel koruyucu donanımlar ile ilgili tüm tasarımcı, üretici, gerçek ve tüzel kişilerin dikkate almaları gereken kategorizasyon tablosu Ek-1’de verilmiştir.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Kişisel koruyucu donanım yönetmeliğinin ilgili hükümleri</w:t>
      </w:r>
      <w:r w:rsidRPr="00312D8D">
        <w:rPr>
          <w:rFonts w:ascii="Arial" w:hAnsi="Arial" w:cs="Arial"/>
          <w:color w:val="575757"/>
          <w:sz w:val="20"/>
          <w:szCs w:val="20"/>
        </w:rPr>
        <w:t>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10 – (1) Kişisel Koruyucu Donanım Yönetmeliğinin ilgili hükümleri Ek-2’de verilmiştir.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Yürürlükten kaldırılan tebliğ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11 – (1) 4/5/2004 tarihli ve 25452 sayılı Resmî Gazete’de yayımlanan Kişisel Koruyucu Donanımların Kategorizasyon Rehberine Dair Tebliğyürürlükten kaldırılmıştır.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Yürürlük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12 – (1) Bu Tebliğ yayımı tarihinde yürürlüğe girer. </w:t>
      </w:r>
    </w:p>
    <w:p w:rsidR="00312D8D" w:rsidRPr="00312D8D" w:rsidRDefault="00312D8D" w:rsidP="00312D8D">
      <w:pPr>
        <w:pStyle w:val="NormalWeb"/>
        <w:shd w:val="clear" w:color="auto" w:fill="FFFFFF"/>
        <w:spacing w:before="0" w:beforeAutospacing="0" w:after="360" w:afterAutospacing="0"/>
        <w:rPr>
          <w:rFonts w:ascii="Arial" w:hAnsi="Arial" w:cs="Arial"/>
          <w:color w:val="575757"/>
          <w:sz w:val="20"/>
          <w:szCs w:val="20"/>
        </w:rPr>
      </w:pPr>
      <w:r w:rsidRPr="00312D8D">
        <w:rPr>
          <w:rStyle w:val="Gl"/>
          <w:rFonts w:ascii="Arial" w:hAnsi="Arial" w:cs="Arial"/>
          <w:color w:val="575757"/>
          <w:sz w:val="20"/>
          <w:szCs w:val="20"/>
        </w:rPr>
        <w:t>Yürütme </w:t>
      </w:r>
    </w:p>
    <w:p w:rsidR="006536EC" w:rsidRPr="004F2CF0" w:rsidRDefault="00312D8D" w:rsidP="004F2CF0">
      <w:pPr>
        <w:pStyle w:val="NormalWeb"/>
        <w:shd w:val="clear" w:color="auto" w:fill="FFFFFF"/>
        <w:spacing w:before="0" w:beforeAutospacing="0" w:after="360" w:afterAutospacing="0"/>
        <w:rPr>
          <w:rFonts w:ascii="Arial" w:hAnsi="Arial" w:cs="Arial"/>
          <w:color w:val="575757"/>
          <w:sz w:val="20"/>
          <w:szCs w:val="20"/>
        </w:rPr>
      </w:pPr>
      <w:r w:rsidRPr="00312D8D">
        <w:rPr>
          <w:rFonts w:ascii="Arial" w:hAnsi="Arial" w:cs="Arial"/>
          <w:color w:val="575757"/>
          <w:sz w:val="20"/>
          <w:szCs w:val="20"/>
        </w:rPr>
        <w:t>MADDE 13 – (1) Bu Tebliğ hükümlerini Çalışma ve Sosyal Güvenlik Bakanı yürütür. </w:t>
      </w:r>
      <w:bookmarkStart w:id="0" w:name="_GoBack"/>
      <w:bookmarkEnd w:id="0"/>
    </w:p>
    <w:sectPr w:rsidR="006536EC" w:rsidRPr="004F2CF0" w:rsidSect="00312D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8D"/>
    <w:rsid w:val="00312D8D"/>
    <w:rsid w:val="004F2CF0"/>
    <w:rsid w:val="00653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2A64"/>
  <w15:chartTrackingRefBased/>
  <w15:docId w15:val="{905D7A7A-1EC3-4411-837E-FD69ACDB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12D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2D8D"/>
    <w:rPr>
      <w:b/>
      <w:bCs/>
    </w:rPr>
  </w:style>
  <w:style w:type="character" w:styleId="Kpr">
    <w:name w:val="Hyperlink"/>
    <w:basedOn w:val="VarsaylanParagrafYazTipi"/>
    <w:uiPriority w:val="99"/>
    <w:semiHidden/>
    <w:unhideWhenUsed/>
    <w:rsid w:val="00312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2</cp:revision>
  <dcterms:created xsi:type="dcterms:W3CDTF">2017-08-24T09:35:00Z</dcterms:created>
  <dcterms:modified xsi:type="dcterms:W3CDTF">2017-08-24T09:36:00Z</dcterms:modified>
</cp:coreProperties>
</file>